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bookmarkStart w:id="0" w:name="_GoBack"/>
      <w:bookmarkEnd w:id="0"/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переподключено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переподключен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300 водозаборных скважин; перевод г.Минска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lastRenderedPageBreak/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г.Ганновера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>столичном районе Вилкпеде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пос.Вежайчай Клайпедского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>7 кв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пеллетные производства </w:t>
      </w:r>
      <w:r w:rsidR="00EE330C" w:rsidRPr="00B76355">
        <w:rPr>
          <w:rFonts w:eastAsia="Courier New"/>
          <w:i/>
          <w:sz w:val="28"/>
          <w:szCs w:val="28"/>
        </w:rPr>
        <w:t>(пеллеты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пеллетами.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r w:rsidRPr="00B76355">
        <w:rPr>
          <w:rFonts w:eastAsia="Courier New"/>
          <w:b/>
          <w:sz w:val="30"/>
          <w:szCs w:val="30"/>
        </w:rPr>
        <w:t xml:space="preserve">предизолированные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r w:rsidR="00163A98" w:rsidRPr="00C22CAA">
        <w:rPr>
          <w:rFonts w:eastAsia="Courier New"/>
          <w:i/>
          <w:sz w:val="28"/>
          <w:szCs w:val="28"/>
        </w:rPr>
        <w:t>предизолированных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lastRenderedPageBreak/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>в 1,8 раза по сравнению с аналогичным периодом 2021 года: со 162,5 млн. 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>в ноябре т.г.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и </w:t>
      </w:r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r w:rsidRPr="00B76355">
        <w:rPr>
          <w:rFonts w:eastAsia="Courier New"/>
          <w:i/>
          <w:sz w:val="28"/>
          <w:szCs w:val="28"/>
        </w:rPr>
        <w:t>refuse derived fuel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 xml:space="preserve">Кричеве и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 xml:space="preserve">внедрение технологий компостирования органической части </w:t>
      </w:r>
      <w:r w:rsidRPr="00B76355">
        <w:rPr>
          <w:rFonts w:eastAsia="Courier New"/>
          <w:b/>
          <w:sz w:val="30"/>
          <w:szCs w:val="30"/>
        </w:rPr>
        <w:lastRenderedPageBreak/>
        <w:t>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 xml:space="preserve">Минске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Минскзеленстрой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т.г.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 xml:space="preserve">Очень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5177C6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5177C6">
        <w:rPr>
          <w:rFonts w:eastAsia="Courier New"/>
          <w:sz w:val="30"/>
          <w:szCs w:val="30"/>
        </w:rPr>
        <w:t xml:space="preserve">ности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ДомУчет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 карта г.Минска</w:t>
      </w:r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</w:t>
      </w:r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Витебске и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Лиде;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г.Минске)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r w:rsidR="00051F2F" w:rsidRPr="00B76355">
        <w:rPr>
          <w:b/>
          <w:sz w:val="30"/>
          <w:szCs w:val="30"/>
        </w:rPr>
        <w:t>Telegram</w:t>
      </w:r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г.Минска</w:t>
      </w:r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r w:rsidRPr="00B76355">
        <w:rPr>
          <w:b/>
          <w:sz w:val="30"/>
          <w:szCs w:val="30"/>
          <w:lang w:val="en-US"/>
        </w:rPr>
        <w:t>portbelbot</w:t>
      </w:r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</w:t>
      </w:r>
      <w:r w:rsidRPr="00B76355">
        <w:rPr>
          <w:sz w:val="30"/>
          <w:szCs w:val="30"/>
        </w:rPr>
        <w:lastRenderedPageBreak/>
        <w:t xml:space="preserve">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Жилкомиздат</w:t>
      </w:r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г.Минске путем организации обратной связи с потребителем, в том числе с помощью автоматического обзвона.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>2022 г. в г.Минске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8"/>
      <w:footerReference w:type="even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7B" w:rsidRDefault="0011747B" w:rsidP="0012441B">
      <w:r>
        <w:separator/>
      </w:r>
    </w:p>
  </w:endnote>
  <w:endnote w:type="continuationSeparator" w:id="0">
    <w:p w:rsidR="0011747B" w:rsidRDefault="0011747B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7B" w:rsidRDefault="0011747B" w:rsidP="0012441B">
      <w:r>
        <w:separator/>
      </w:r>
    </w:p>
  </w:footnote>
  <w:footnote w:type="continuationSeparator" w:id="0">
    <w:p w:rsidR="0011747B" w:rsidRDefault="0011747B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0C1800">
      <w:rPr>
        <w:noProof/>
        <w:sz w:val="30"/>
        <w:szCs w:val="30"/>
      </w:rPr>
      <w:t>13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E6B8F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81EA56-C54F-41DF-AA6D-DC21F20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92AD-F29E-4B57-9EED-2EB34FC1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User</cp:lastModifiedBy>
  <cp:revision>2</cp:revision>
  <cp:lastPrinted>2022-10-27T10:04:00Z</cp:lastPrinted>
  <dcterms:created xsi:type="dcterms:W3CDTF">2022-11-17T14:35:00Z</dcterms:created>
  <dcterms:modified xsi:type="dcterms:W3CDTF">2022-11-17T14:35:00Z</dcterms:modified>
</cp:coreProperties>
</file>